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rPr>
          <w:cantSplit/>
          <w:trHeight w:val="6400" w:hRule="atLeast"/>
        </w:trPr>
        <w:tc>
          <w:tcPr>
            <w:tcW w:type="dxa" w:w="10080"/>
            <w:tcBorders>
              <w:top w:val="none" w:color="020617" w:sz="0"/>
              <w:left w:val="single" w:color="0EA5E9" w:sz="36"/>
              <w:bottom w:val="none" w:color="020617" w:sz="0"/>
              <w:right w:val="none" w:color="020617" w:sz="0"/>
            </w:tcBorders>
            <w:shd w:fill="020617" w:color="auto" w:val="clear"/>
            <w:tcMar>
              <w:top w:type="dxa" w:w="480"/>
              <w:left w:type="dxa" w:w="400"/>
              <w:bottom w:type="dxa" w:w="480"/>
              <w:right w:type="dxa" w:w="400"/>
            </w:tcMar>
            <w:vAlign w:val="center"/>
          </w:tcPr>
          <w:p>
            <w:pPr>
              <w:spacing w:after="360"/>
            </w:pPr>
            <w:r>
              <w:rPr>
                <w:rFonts w:ascii="Arial" w:cs="Arial" w:eastAsia="Arial" w:hAnsi="Arial"/>
                <w:b/>
                <w:bCs/>
                <w:color w:val="38BDF8"/>
                <w:spacing w:val="40"/>
                <w:sz w:val="20"/>
                <w:szCs w:val="20"/>
              </w:rPr>
              <w:t xml:space="preserve">WHITE PAPER</w:t>
            </w:r>
          </w:p>
          <w:p>
            <w:pPr>
              <w:spacing w:after="200"/>
            </w:pPr>
            <w:r>
              <w:rPr>
                <w:rFonts w:ascii="Georgia" w:cs="Georgia" w:eastAsia="Georgia" w:hAnsi="Georgia"/>
                <w:b/>
                <w:bCs/>
                <w:color w:val="FFFFFF"/>
                <w:sz w:val="72"/>
                <w:szCs w:val="72"/>
              </w:rPr>
              <w:t xml:space="preserve">Passive Intelligence</w:t>
            </w:r>
          </w:p>
          <w:p>
            <w:pPr>
              <w:spacing w:after="480" w:line="400"/>
            </w:pPr>
            <w:r>
              <w:rPr>
                <w:rFonts w:ascii="Arial" w:cs="Arial" w:eastAsia="Arial" w:hAnsi="Arial"/>
                <w:color w:val="94A3B8"/>
                <w:sz w:val="28"/>
                <w:szCs w:val="28"/>
              </w:rPr>
              <w:t xml:space="preserve">How agentic AI captures the financial intelligence your portfolio companies already generate – before it dissipates.</w:t>
            </w:r>
          </w:p>
          <w:p>
            <w:pPr>
              <w:spacing w:after="80"/>
            </w:pPr>
            <w:r>
              <w:rPr>
                <w:rFonts w:ascii="Arial" w:cs="Arial" w:eastAsia="Arial" w:hAnsi="Arial"/>
                <w:b/>
                <w:bCs/>
                <w:color w:val="FFFFFF"/>
                <w:sz w:val="22"/>
                <w:szCs w:val="22"/>
              </w:rPr>
              <w:t xml:space="preserve">John W. Leese, CPA</w:t>
            </w:r>
          </w:p>
          <w:p>
            <w:pPr>
              <w:spacing w:after="0"/>
            </w:pPr>
            <w:r>
              <w:rPr>
                <w:rFonts w:ascii="Arial" w:cs="Arial" w:eastAsia="Arial" w:hAnsi="Arial"/>
                <w:color w:val="94A3B8"/>
                <w:sz w:val="20"/>
                <w:szCs w:val="20"/>
              </w:rPr>
              <w:t xml:space="preserve">Co-Founder, Operating CFO</w:t>
            </w:r>
            <w:r>
              <w:rPr>
                <w:rFonts w:ascii="Arial" w:cs="Arial" w:eastAsia="Arial" w:hAnsi="Arial"/>
                <w:color w:val="94A3B8"/>
                <w:sz w:val="20"/>
                <w:szCs w:val="20"/>
              </w:rPr>
              <w:t xml:space="preserve">  ·  Portfolio Operating Group  ·  April 2026</w:t>
            </w:r>
          </w:p>
        </w:tc>
      </w:tr>
    </w:tbl>
    <w:p>
      <w:pPr>
        <w:spacing w:after="0" w:before="240"/>
      </w:pPr>
      <w:r>
        <w:rPr>
          <w:rFonts w:ascii="Arial" w:cs="Arial" w:eastAsia="Arial" w:hAnsi="Arial"/>
          <w:color w:val="64748B"/>
          <w:sz w:val="18"/>
          <w:szCs w:val="18"/>
        </w:rPr>
        <w:t xml:space="preserve">v1.0  ·  8 min read  ·  portfolioog.com</w:t>
      </w:r>
    </w:p>
    <w:p>
      <w:pPr>
        <w:spacing w:after="0" w:before="4800"/>
        <w:jc w:val="left"/>
      </w:pPr>
      <w:r>
        <w:rPr>
          <w:rFonts w:ascii="Georgia" w:cs="Georgia" w:eastAsia="Georgia" w:hAnsi="Georgia"/>
          <w:b/>
          <w:bCs/>
          <w:color w:val="0EA5E9"/>
          <w:sz w:val="36"/>
          <w:szCs w:val="36"/>
        </w:rPr>
        <w:t xml:space="preserve">P</w:t>
      </w:r>
      <w:r>
        <w:rPr>
          <w:rFonts w:ascii="Georgia" w:cs="Georgia" w:eastAsia="Georgia" w:hAnsi="Georgia"/>
          <w:b/>
          <w:bCs/>
          <w:color w:val="0F172A"/>
          <w:sz w:val="30"/>
          <w:szCs w:val="30"/>
        </w:rPr>
        <w:t xml:space="preserve">o</w:t>
      </w:r>
      <w:r>
        <w:rPr>
          <w:rFonts w:ascii="Georgia" w:cs="Georgia" w:eastAsia="Georgia" w:hAnsi="Georgia"/>
          <w:b/>
          <w:bCs/>
          <w:color w:val="0EA5E9"/>
          <w:sz w:val="36"/>
          <w:szCs w:val="36"/>
        </w:rPr>
        <w:t xml:space="preserve">OG</w:t>
      </w:r>
    </w:p>
    <w:p>
      <w:r>
        <w:br w:type="page"/>
      </w:r>
    </w:p>
    <w:p>
      <w:pPr>
        <w:pBdr>
          <w:bottom w:val="single" w:color="0EA5E9" w:sz="12" w:space="4"/>
        </w:pBdr>
        <w:spacing w:after="100" w:before="480"/>
      </w:pPr>
      <w:r>
        <w:rPr>
          <w:rFonts w:ascii="Georgia" w:cs="Georgia" w:eastAsia="Georgia" w:hAnsi="Georgia"/>
          <w:b/>
          <w:bCs/>
          <w:color w:val="0F172A"/>
          <w:sz w:val="40"/>
          <w:szCs w:val="40"/>
        </w:rPr>
        <w:t xml:space="preserve">The Problem Nobody Budgets For</w:t>
      </w:r>
    </w:p>
    <w:p>
      <w:pPr>
        <w:spacing w:after="240" w:line="340"/>
        <w:jc w:val="both"/>
      </w:pPr>
      <w:r>
        <w:rPr>
          <w:rFonts w:ascii="Arial" w:cs="Arial" w:eastAsia="Arial" w:hAnsi="Arial"/>
          <w:color w:val="0F172A"/>
          <w:sz w:val="24"/>
          <w:szCs w:val="24"/>
        </w:rPr>
        <w:t xml:space="preserve">The months after a close are where the finance function either hardens into something institutional or drifts. Drift looks like this: every week the company generates more financial intelligence than its lean finance team can capture, retain, and act on. The intelligence exists. It just dissipates before it reaches the people who need it most — and the cost shows up at the next diligence.</w:t>
      </w:r>
    </w:p>
    <w:p>
      <w:pPr>
        <w:spacing w:after="180" w:line="320"/>
        <w:jc w:val="both"/>
      </w:pPr>
      <w:r>
        <w:rPr>
          <w:rFonts w:ascii="Arial" w:cs="Arial" w:eastAsia="Arial" w:hAnsi="Arial"/>
          <w:b w:val="false"/>
          <w:bCs w:val="false"/>
          <w:i w:val="false"/>
          <w:iCs w:val="false"/>
          <w:color w:val="1E293B"/>
          <w:sz w:val="21"/>
          <w:szCs w:val="21"/>
        </w:rPr>
        <w:t xml:space="preserve">Consider a typical mid-market holding company — $150M to $300M in consolidated revenue, ten business units, project-based work recognized under percentage-of-completion. Every week, project managers sit in WIP forecast meetings and discuss margin trends, change order activity, completion estimate shifts, and the gap between estimated and actual costs. Controllers and analysts analyze it in monthly variance reports. BU presidents flag it in emails. The CFO and CEO discuss strategic implications in conversations that rarely get formally documented.</w:t>
      </w:r>
    </w:p>
    <w:p>
      <w:pPr>
        <w:spacing w:after="180" w:line="320"/>
        <w:jc w:val="both"/>
      </w:pPr>
      <w:r>
        <w:rPr>
          <w:rFonts w:ascii="Arial" w:cs="Arial" w:eastAsia="Arial" w:hAnsi="Arial"/>
          <w:b w:val="false"/>
          <w:bCs w:val="false"/>
          <w:i w:val="false"/>
          <w:iCs w:val="false"/>
          <w:color w:val="1E293B"/>
          <w:sz w:val="21"/>
          <w:szCs w:val="21"/>
        </w:rPr>
        <w:t xml:space="preserve">The information is generated constantly. The problem is that too much of it dissipates after the meeting ends, after the email is read, after the call hangs up. Meeting discussions produce insights that disappear. Variance analyses arrive as point-in-time snapshots with limited pattern recognition across months or business units. Commitments made by project managers in WIP meetings go untracked unless someone manually follows up. Executive decisions that should inform forecast assumptions live in the CFO’s memory rather than in the model.</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rPr>
          <w:cantSplit/>
        </w:trPr>
        <w:tc>
          <w:tcPr>
            <w:tcW w:type="dxa" w:w="10080"/>
            <w:tcBorders>
              <w:top w:val="single" w:color="E0F2FE" w:sz="2"/>
              <w:left w:val="single" w:color="0EA5E9" w:sz="24"/>
              <w:bottom w:val="single" w:color="E0F2FE" w:sz="2"/>
              <w:right w:val="single" w:color="E0F2FE" w:sz="2"/>
            </w:tcBorders>
            <w:shd w:fill="E0F2FE" w:color="auto" w:val="clear"/>
            <w:tcMar>
              <w:top w:type="dxa" w:w="200"/>
              <w:left w:type="dxa" w:w="280"/>
              <w:bottom w:type="dxa" w:w="200"/>
              <w:right w:type="dxa" w:w="240"/>
            </w:tcMar>
          </w:tcPr>
          <w:p>
            <w:pPr>
              <w:spacing w:after="100"/>
            </w:pPr>
            <w:r>
              <w:rPr>
                <w:rFonts w:ascii="Arial" w:cs="Arial" w:eastAsia="Arial" w:hAnsi="Arial"/>
                <w:b/>
                <w:bCs/>
                <w:color w:val="0EA5E9"/>
                <w:spacing w:val="24"/>
                <w:sz w:val="16"/>
                <w:szCs w:val="16"/>
              </w:rPr>
              <w:t xml:space="preserve">THE CORE PROBLEM</w:t>
            </w:r>
          </w:p>
          <w:p>
            <w:pPr>
              <w:spacing w:after="0" w:line="300"/>
              <w:jc w:val="both"/>
            </w:pPr>
            <w:r>
              <w:rPr>
                <w:rFonts w:ascii="Arial" w:cs="Arial" w:eastAsia="Arial" w:hAnsi="Arial"/>
                <w:color w:val="1E293B"/>
                <w:sz w:val="20"/>
                <w:szCs w:val="20"/>
              </w:rPr>
              <w:t xml:space="preserve">The people responsible for financial planning, analysis, and project oversight spend a disproportionate share of their time chasing information rather than acting on it. Quarterly re-forecasts take three to four weeks. Board decks are assembled manually from inputs that may already be stale. Contract risk — margin erosion, change order exposure, completion estimate drift — surfaces late, sometimes after it has already hit the P&amp;L.</w:t>
            </w:r>
          </w:p>
        </w:tc>
      </w:tr>
    </w:tbl>
    <w:p>
      <w:pPr>
        <w:spacing w:after="200"/>
      </w:pPr>
    </w:p>
    <w:p>
      <w:pPr>
        <w:spacing w:after="180" w:line="320"/>
        <w:jc w:val="both"/>
      </w:pPr>
      <w:r>
        <w:rPr>
          <w:rFonts w:ascii="Arial" w:cs="Arial" w:eastAsia="Arial" w:hAnsi="Arial"/>
          <w:b w:val="false"/>
          <w:bCs w:val="false"/>
          <w:i w:val="false"/>
          <w:iCs w:val="false"/>
          <w:color w:val="1E293B"/>
          <w:sz w:val="21"/>
          <w:szCs w:val="21"/>
        </w:rPr>
        <w:t xml:space="preserve">The result is a finance function that is simultaneously drowning in information and starved for intelligence. And the cost is not abstract.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cantSplit/>
        </w:trPr>
        <w:tc>
          <w:tcPr>
            <w:tcW w:type="dxa" w:w="3360"/>
            <w:tcBorders>
              <w:top w:val="single" w:color="0EA5E9" w:sz="18"/>
              <w:left w:val="single" w:color="E2E8F0" w:sz="4"/>
              <w:bottom w:val="single" w:color="E2E8F0" w:sz="4"/>
              <w:right w:val="single" w:color="E2E8F0" w:sz="4"/>
            </w:tcBorders>
            <w:shd w:fill="FFFFFF" w:color="auto" w:val="clear"/>
            <w:tcMar>
              <w:top w:type="dxa" w:w="240"/>
              <w:left w:type="dxa" w:w="120"/>
              <w:bottom w:type="dxa" w:w="240"/>
              <w:right w:type="dxa" w:w="120"/>
            </w:tcMar>
            <w:vAlign w:val="center"/>
          </w:tcPr>
          <w:p>
            <w:pPr>
              <w:spacing w:after="60"/>
              <w:jc w:val="center"/>
            </w:pPr>
            <w:r>
              <w:rPr>
                <w:rFonts w:ascii="Georgia" w:cs="Georgia" w:eastAsia="Georgia" w:hAnsi="Georgia"/>
                <w:b/>
                <w:bCs/>
                <w:color w:val="0F172A"/>
                <w:sz w:val="48"/>
                <w:szCs w:val="48"/>
              </w:rPr>
              <w:t xml:space="preserve">~60%</w:t>
            </w:r>
          </w:p>
          <w:p>
            <w:pPr>
              <w:spacing w:after="0" w:line="240"/>
              <w:jc w:val="center"/>
            </w:pPr>
            <w:r>
              <w:rPr>
                <w:rFonts w:ascii="Arial" w:cs="Arial" w:eastAsia="Arial" w:hAnsi="Arial"/>
                <w:color w:val="475569"/>
                <w:sz w:val="17"/>
                <w:szCs w:val="17"/>
              </w:rPr>
              <w:t xml:space="preserve">of analytical team capacity spent on information assembly</w:t>
            </w:r>
          </w:p>
        </w:tc>
        <w:tc>
          <w:tcPr>
            <w:tcW w:type="dxa" w:w="3360"/>
            <w:tcBorders>
              <w:top w:val="single" w:color="0EA5E9" w:sz="18"/>
              <w:left w:val="single" w:color="E2E8F0" w:sz="4"/>
              <w:bottom w:val="single" w:color="E2E8F0" w:sz="4"/>
              <w:right w:val="single" w:color="E2E8F0" w:sz="4"/>
            </w:tcBorders>
            <w:shd w:fill="FFFFFF" w:color="auto" w:val="clear"/>
            <w:tcMar>
              <w:top w:type="dxa" w:w="240"/>
              <w:left w:type="dxa" w:w="120"/>
              <w:bottom w:type="dxa" w:w="240"/>
              <w:right w:type="dxa" w:w="120"/>
            </w:tcMar>
            <w:vAlign w:val="center"/>
          </w:tcPr>
          <w:p>
            <w:pPr>
              <w:spacing w:after="60"/>
              <w:jc w:val="center"/>
            </w:pPr>
            <w:r>
              <w:rPr>
                <w:rFonts w:ascii="Georgia" w:cs="Georgia" w:eastAsia="Georgia" w:hAnsi="Georgia"/>
                <w:b/>
                <w:bCs/>
                <w:color w:val="0F172A"/>
                <w:sz w:val="48"/>
                <w:szCs w:val="48"/>
              </w:rPr>
              <w:t xml:space="preserve">3-4 wks</w:t>
            </w:r>
          </w:p>
          <w:p>
            <w:pPr>
              <w:spacing w:after="0" w:line="240"/>
              <w:jc w:val="center"/>
            </w:pPr>
            <w:r>
              <w:rPr>
                <w:rFonts w:ascii="Arial" w:cs="Arial" w:eastAsia="Arial" w:hAnsi="Arial"/>
                <w:color w:val="475569"/>
                <w:sz w:val="17"/>
                <w:szCs w:val="17"/>
              </w:rPr>
              <w:t xml:space="preserve">typical quarterly re-forecast cycle</w:t>
            </w:r>
          </w:p>
        </w:tc>
        <w:tc>
          <w:tcPr>
            <w:tcW w:type="dxa" w:w="3360"/>
            <w:tcBorders>
              <w:top w:val="single" w:color="0EA5E9" w:sz="18"/>
              <w:left w:val="single" w:color="E2E8F0" w:sz="4"/>
              <w:bottom w:val="single" w:color="E2E8F0" w:sz="4"/>
              <w:right w:val="single" w:color="E2E8F0" w:sz="4"/>
            </w:tcBorders>
            <w:shd w:fill="FFFFFF" w:color="auto" w:val="clear"/>
            <w:tcMar>
              <w:top w:type="dxa" w:w="240"/>
              <w:left w:type="dxa" w:w="120"/>
              <w:bottom w:type="dxa" w:w="240"/>
              <w:right w:type="dxa" w:w="120"/>
            </w:tcMar>
            <w:vAlign w:val="center"/>
          </w:tcPr>
          <w:p>
            <w:pPr>
              <w:spacing w:after="60"/>
              <w:jc w:val="center"/>
            </w:pPr>
            <w:r>
              <w:rPr>
                <w:rFonts w:ascii="Georgia" w:cs="Georgia" w:eastAsia="Georgia" w:hAnsi="Georgia"/>
                <w:b/>
                <w:bCs/>
                <w:color w:val="0F172A"/>
                <w:sz w:val="48"/>
                <w:szCs w:val="48"/>
              </w:rPr>
              <w:t xml:space="preserve">$1-2M</w:t>
            </w:r>
          </w:p>
          <w:p>
            <w:pPr>
              <w:spacing w:after="0" w:line="240"/>
              <w:jc w:val="center"/>
            </w:pPr>
            <w:r>
              <w:rPr>
                <w:rFonts w:ascii="Arial" w:cs="Arial" w:eastAsia="Arial" w:hAnsi="Arial"/>
                <w:color w:val="475569"/>
                <w:sz w:val="17"/>
                <w:szCs w:val="17"/>
              </w:rPr>
              <w:t xml:space="preserve">annual margin impact from delayed risk visibility</w:t>
            </w:r>
          </w:p>
        </w:tc>
      </w:tr>
    </w:tbl>
    <w:p>
      <w:pPr>
        <w:spacing w:after="240"/>
      </w:pPr>
    </w:p>
    <w:p>
      <w:pPr>
        <w:spacing w:after="180" w:line="320"/>
        <w:jc w:val="both"/>
      </w:pPr>
      <w:r>
        <w:rPr>
          <w:rFonts w:ascii="Arial" w:cs="Arial" w:eastAsia="Arial" w:hAnsi="Arial"/>
          <w:b w:val="false"/>
          <w:bCs w:val="false"/>
          <w:i w:val="false"/>
          <w:iCs w:val="false"/>
          <w:color w:val="1E293B"/>
          <w:sz w:val="21"/>
          <w:szCs w:val="21"/>
        </w:rPr>
        <w:t xml:space="preserve">At $200M in revenue with gross margins of 15 to 20 percent, even a half-point improvement in margin visibility through earlier risk detection represents seven figures of annual impact. The labor currently dedicated to information assembly rather than analysis represents over $100K per year in capacity allocated to work that a well-designed system can eliminate.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rPr>
          <w:cantSplit/>
        </w:trPr>
        <w:tc>
          <w:tcPr>
            <w:tcW w:type="dxa" w:w="10080"/>
            <w:tcBorders>
              <w:top w:val="single" w:color="F8FAFC" w:sz="2"/>
              <w:left w:val="single" w:color="0EA5E9" w:sz="24"/>
              <w:bottom w:val="single" w:color="F8FAFC" w:sz="2"/>
              <w:right w:val="single" w:color="F8FAFC" w:sz="2"/>
            </w:tcBorders>
            <w:shd w:fill="F8FAFC" w:color="auto" w:val="clear"/>
            <w:tcMar>
              <w:top w:type="dxa" w:w="260"/>
              <w:left w:type="dxa" w:w="320"/>
              <w:bottom w:type="dxa" w:w="240"/>
              <w:right w:type="dxa" w:w="280"/>
            </w:tcMar>
          </w:tcPr>
          <w:p>
            <w:pPr>
              <w:spacing w:after="140" w:line="340"/>
            </w:pPr>
            <w:r>
              <w:rPr>
                <w:rFonts w:ascii="Georgia" w:cs="Georgia" w:eastAsia="Georgia" w:hAnsi="Georgia"/>
                <w:i/>
                <w:iCs/>
                <w:color w:val="0F172A"/>
                <w:sz w:val="28"/>
                <w:szCs w:val="28"/>
              </w:rPr>
              <w:t xml:space="preserve">A fade identified at month two of a six-month slide gives operations four months to act. The same fade identified at month six gives nothing but a write-down to explain.</w:t>
            </w:r>
          </w:p>
          <w:p>
            <w:pPr>
              <w:spacing w:after="0"/>
            </w:pPr>
            <w:r>
              <w:rPr>
                <w:rFonts w:ascii="Arial" w:cs="Arial" w:eastAsia="Arial" w:hAnsi="Arial"/>
                <w:color w:val="64748B"/>
                <w:spacing w:val="12"/>
                <w:sz w:val="16"/>
                <w:szCs w:val="16"/>
              </w:rPr>
              <w:t xml:space="preserve">FROM THE SEAT  ·  Operating CFO perspective</w:t>
            </w:r>
          </w:p>
        </w:tc>
      </w:tr>
    </w:tbl>
    <w:p>
      <w:pPr>
        <w:spacing w:after="200"/>
      </w:pPr>
    </w:p>
    <w:p>
      <w:pPr>
        <w:pBdr>
          <w:bottom w:val="single" w:color="0EA5E9" w:sz="12" w:space="4"/>
        </w:pBdr>
        <w:spacing w:after="100" w:before="480"/>
      </w:pPr>
      <w:r>
        <w:rPr>
          <w:rFonts w:ascii="Georgia" w:cs="Georgia" w:eastAsia="Georgia" w:hAnsi="Georgia"/>
          <w:b/>
          <w:bCs/>
          <w:color w:val="0F172A"/>
          <w:sz w:val="40"/>
          <w:szCs w:val="40"/>
        </w:rPr>
        <w:t xml:space="preserve">The Approach: Capture What Already Exists</w:t>
      </w:r>
    </w:p>
    <w:p>
      <w:pPr>
        <w:spacing w:after="240" w:line="340"/>
        <w:jc w:val="both"/>
      </w:pPr>
      <w:r>
        <w:rPr>
          <w:rFonts w:ascii="Arial" w:cs="Arial" w:eastAsia="Arial" w:hAnsi="Arial"/>
          <w:color w:val="0F172A"/>
          <w:sz w:val="24"/>
          <w:szCs w:val="24"/>
        </w:rPr>
        <w:t xml:space="preserve">The solution is not another dashboard, another reporting tool, or another process layered on top of people who are already stretched. It is a system that passively captures the information already flowing through the organization — and makes it queryable on demand.</w:t>
      </w:r>
    </w:p>
    <w:p>
      <w:pPr>
        <w:spacing w:after="180" w:line="320"/>
        <w:jc w:val="both"/>
      </w:pPr>
      <w:r>
        <w:rPr>
          <w:rFonts w:ascii="Arial" w:cs="Arial" w:eastAsia="Arial" w:hAnsi="Arial"/>
          <w:b w:val="false"/>
          <w:bCs w:val="false"/>
          <w:i w:val="false"/>
          <w:iCs w:val="false"/>
          <w:color w:val="1E293B"/>
          <w:sz w:val="21"/>
          <w:szCs w:val="21"/>
        </w:rPr>
        <w:t xml:space="preserve">No new data collection processes are imposed on the people generating the information. Project managers, controllers, analysts, and BU presidents continue doing exactly what they do today. The system captures their existing outputs — meeting transcripts, emails, executive conversations — and ensures that what they say and write is retained, organized, and available when it matters.</w:t>
      </w:r>
    </w:p>
    <w:p>
      <w:pPr>
        <w:spacing w:after="120" w:before="320"/>
      </w:pPr>
      <w:r>
        <w:rPr>
          <w:rFonts w:ascii="Arial" w:cs="Arial" w:eastAsia="Arial" w:hAnsi="Arial"/>
          <w:b/>
          <w:bCs/>
          <w:color w:val="0F172A"/>
          <w:sz w:val="26"/>
          <w:szCs w:val="26"/>
        </w:rPr>
        <w:t xml:space="preserve">Three Design Principles</w:t>
      </w:r>
    </w:p>
    <w:p>
      <w:pPr>
        <w:spacing w:after="180" w:line="320"/>
        <w:jc w:val="both"/>
      </w:pPr>
      <w:r>
        <w:rPr>
          <w:rFonts w:ascii="Arial" w:cs="Arial" w:eastAsia="Arial" w:hAnsi="Arial"/>
          <w:b/>
          <w:bCs/>
          <w:color w:val="1E293B"/>
          <w:sz w:val="21"/>
          <w:szCs w:val="21"/>
        </w:rPr>
        <w:t xml:space="preserve">Capture where information already exists</w:t>
      </w:r>
      <w:r>
        <w:rPr>
          <w:rFonts w:ascii="Arial" w:cs="Arial" w:eastAsia="Arial" w:hAnsi="Arial"/>
          <w:color w:val="1E293B"/>
          <w:sz w:val="21"/>
          <w:szCs w:val="21"/>
        </w:rPr>
        <w:t xml:space="preserve"> rather than creating new collection workflows. The transcripts, emails, and conversations are already happening. The system structures what currently dissipates.</w:t>
      </w:r>
    </w:p>
    <w:p>
      <w:pPr>
        <w:spacing w:after="180" w:line="320"/>
        <w:jc w:val="both"/>
      </w:pPr>
      <w:r>
        <w:rPr>
          <w:rFonts w:ascii="Arial" w:cs="Arial" w:eastAsia="Arial" w:hAnsi="Arial"/>
          <w:b/>
          <w:bCs/>
          <w:color w:val="1E293B"/>
          <w:sz w:val="21"/>
          <w:szCs w:val="21"/>
        </w:rPr>
        <w:t xml:space="preserve">Use deterministic rules where possible and AI only where human-like judgment is required.</w:t>
      </w:r>
      <w:r>
        <w:rPr>
          <w:rFonts w:ascii="Arial" w:cs="Arial" w:eastAsia="Arial" w:hAnsi="Arial"/>
          <w:color w:val="1E293B"/>
          <w:sz w:val="21"/>
          <w:szCs w:val="21"/>
        </w:rPr>
        <w:t xml:space="preserve"> Orchestration logic, routing rules, and threshold-based alerts are code. AI earns its place in tasks that require interpreting unstructured language — reading a project manager’s hedged language about a completion estimate, recognizing that a controller’s variance explanation echoes a pattern from three months ago, or translating a CEO’s strategic direction into a forecast assumption.</w:t>
      </w:r>
    </w:p>
    <w:p>
      <w:pPr>
        <w:spacing w:after="180" w:line="320"/>
        <w:jc w:val="both"/>
      </w:pPr>
      <w:r>
        <w:rPr>
          <w:rFonts w:ascii="Arial" w:cs="Arial" w:eastAsia="Arial" w:hAnsi="Arial"/>
          <w:b/>
          <w:bCs/>
          <w:color w:val="1E293B"/>
          <w:sz w:val="21"/>
          <w:szCs w:val="21"/>
        </w:rPr>
        <w:t xml:space="preserve">Keep the human in the loop at every decision point that affects reported numbers.</w:t>
      </w:r>
      <w:r>
        <w:rPr>
          <w:rFonts w:ascii="Arial" w:cs="Arial" w:eastAsia="Arial" w:hAnsi="Arial"/>
          <w:color w:val="1E293B"/>
          <w:sz w:val="21"/>
          <w:szCs w:val="21"/>
        </w:rPr>
        <w:t xml:space="preserve"> The system surfaces and recommends. The financial analyst, controller, and CFO review and decide.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rPr>
          <w:cantSplit/>
        </w:trPr>
        <w:tc>
          <w:tcPr>
            <w:tcW w:type="dxa" w:w="10080"/>
            <w:tcBorders>
              <w:top w:val="single" w:color="F1F5F9" w:sz="2"/>
              <w:left w:val="single" w:color="475569" w:sz="24"/>
              <w:bottom w:val="single" w:color="F1F5F9" w:sz="2"/>
              <w:right w:val="single" w:color="F1F5F9" w:sz="2"/>
            </w:tcBorders>
            <w:shd w:fill="F1F5F9" w:color="auto" w:val="clear"/>
            <w:tcMar>
              <w:top w:type="dxa" w:w="200"/>
              <w:left w:type="dxa" w:w="280"/>
              <w:bottom w:type="dxa" w:w="200"/>
              <w:right w:type="dxa" w:w="240"/>
            </w:tcMar>
          </w:tcPr>
          <w:p>
            <w:pPr>
              <w:spacing w:after="100"/>
            </w:pPr>
            <w:r>
              <w:rPr>
                <w:rFonts w:ascii="Arial" w:cs="Arial" w:eastAsia="Arial" w:hAnsi="Arial"/>
                <w:b/>
                <w:bCs/>
                <w:color w:val="475569"/>
                <w:spacing w:val="24"/>
                <w:sz w:val="16"/>
                <w:szCs w:val="16"/>
              </w:rPr>
              <w:t xml:space="preserve">METHODOLOGY</w:t>
            </w:r>
          </w:p>
          <w:p>
            <w:pPr>
              <w:spacing w:after="0" w:line="300"/>
              <w:jc w:val="both"/>
            </w:pPr>
            <w:r>
              <w:rPr>
                <w:rFonts w:ascii="Arial" w:cs="Arial" w:eastAsia="Arial" w:hAnsi="Arial"/>
                <w:color w:val="1E293B"/>
                <w:sz w:val="20"/>
                <w:szCs w:val="20"/>
              </w:rPr>
              <w:t xml:space="preserve">The architecture uses a model-routing strategy: lightweight AI handles the high-volume work (transcript summarization, email classification, data extraction) at the lowest cost tier, covering roughly 80-90% of processing. A more capable reasoning model handles tasks requiring deeper judgment — evaluating risk signals, synthesizing forecast assumptions, and identifying cross-period variance patterns. The routing between models is rule-based, not a judgment call made by the AI.</w:t>
            </w:r>
          </w:p>
        </w:tc>
      </w:tr>
    </w:tbl>
    <w:p>
      <w:pPr>
        <w:spacing w:after="200"/>
      </w:pPr>
    </w:p>
    <w:p>
      <w:pPr>
        <w:pBdr>
          <w:bottom w:val="single" w:color="0EA5E9" w:sz="12" w:space="4"/>
        </w:pBdr>
        <w:spacing w:after="100" w:before="480"/>
      </w:pPr>
      <w:r>
        <w:rPr>
          <w:rFonts w:ascii="Georgia" w:cs="Georgia" w:eastAsia="Georgia" w:hAnsi="Georgia"/>
          <w:b/>
          <w:bCs/>
          <w:color w:val="0F172A"/>
          <w:sz w:val="40"/>
          <w:szCs w:val="40"/>
        </w:rPr>
        <w:t xml:space="preserve">Four Dimensions of Impact</w:t>
      </w:r>
    </w:p>
    <w:p>
      <w:pPr>
        <w:spacing w:after="180" w:line="320"/>
        <w:jc w:val="both"/>
      </w:pPr>
      <w:r>
        <w:rPr>
          <w:rFonts w:ascii="Arial" w:cs="Arial" w:eastAsia="Arial" w:hAnsi="Arial"/>
          <w:b/>
          <w:bCs/>
          <w:color w:val="1E293B"/>
          <w:sz w:val="21"/>
          <w:szCs w:val="21"/>
        </w:rPr>
        <w:t xml:space="preserve">Earlier risk visibility.</w:t>
      </w:r>
      <w:r>
        <w:rPr>
          <w:rFonts w:ascii="Arial" w:cs="Arial" w:eastAsia="Arial" w:hAnsi="Arial"/>
          <w:color w:val="1E293B"/>
          <w:sz w:val="21"/>
          <w:szCs w:val="21"/>
        </w:rPr>
        <w:t xml:space="preserve"> The system surfaces project-level risk signals weeks earlier than the current reporting cycle allows. Margin erosion, change order exposure, and completion estimate drift are flagged as they emerge in weekly discussions — not discovered during quarterly close.</w:t>
      </w:r>
    </w:p>
    <w:p>
      <w:pPr>
        <w:spacing w:after="180" w:line="320"/>
        <w:jc w:val="both"/>
      </w:pPr>
      <w:r>
        <w:rPr>
          <w:rFonts w:ascii="Arial" w:cs="Arial" w:eastAsia="Arial" w:hAnsi="Arial"/>
          <w:b/>
          <w:bCs/>
          <w:color w:val="1E293B"/>
          <w:sz w:val="21"/>
          <w:szCs w:val="21"/>
        </w:rPr>
        <w:t xml:space="preserve">Objective accountability.</w:t>
      </w:r>
      <w:r>
        <w:rPr>
          <w:rFonts w:ascii="Arial" w:cs="Arial" w:eastAsia="Arial" w:hAnsi="Arial"/>
          <w:color w:val="1E293B"/>
          <w:sz w:val="21"/>
          <w:szCs w:val="21"/>
        </w:rPr>
        <w:t xml:space="preserve"> An unbiased, longitudinal record of commitments and follow-through at the project and individual level, derived from meeting transcripts and documented communications rather than subjective recall. This provides a defensible foundation for performance and resource allocation discussions.</w:t>
      </w:r>
    </w:p>
    <w:p>
      <w:pPr>
        <w:spacing w:after="180" w:line="320"/>
        <w:jc w:val="both"/>
      </w:pPr>
      <w:r>
        <w:rPr>
          <w:rFonts w:ascii="Arial" w:cs="Arial" w:eastAsia="Arial" w:hAnsi="Arial"/>
          <w:b/>
          <w:bCs/>
          <w:color w:val="1E293B"/>
          <w:sz w:val="21"/>
          <w:szCs w:val="21"/>
        </w:rPr>
        <w:t xml:space="preserve">Compressed analysis cycles.</w:t>
      </w:r>
      <w:r>
        <w:rPr>
          <w:rFonts w:ascii="Arial" w:cs="Arial" w:eastAsia="Arial" w:hAnsi="Arial"/>
          <w:color w:val="1E293B"/>
          <w:sz w:val="21"/>
          <w:szCs w:val="21"/>
        </w:rPr>
        <w:t xml:space="preserve"> The time required for variance analysis assembly drops dramatically. Where a controller currently spends roughly a full day per business unit gathering information before true analytical work begins, a pre-assembled knowledge layer compresses that to one to two hours per BU. Across ten business units, that is the difference between two full weeks of the team’s time and two to three days.</w:t>
      </w:r>
    </w:p>
    <w:p>
      <w:pPr>
        <w:spacing w:after="180" w:line="320"/>
        <w:jc w:val="both"/>
      </w:pPr>
      <w:r>
        <w:rPr>
          <w:rFonts w:ascii="Arial" w:cs="Arial" w:eastAsia="Arial" w:hAnsi="Arial"/>
          <w:b/>
          <w:bCs/>
          <w:color w:val="1E293B"/>
          <w:sz w:val="21"/>
          <w:szCs w:val="21"/>
        </w:rPr>
        <w:t xml:space="preserve">Sourced forecast assumptions.</w:t>
      </w:r>
      <w:r>
        <w:rPr>
          <w:rFonts w:ascii="Arial" w:cs="Arial" w:eastAsia="Arial" w:hAnsi="Arial"/>
          <w:color w:val="1E293B"/>
          <w:sz w:val="21"/>
          <w:szCs w:val="21"/>
        </w:rPr>
        <w:t xml:space="preserve"> The financial analyst starts each forecast cycle with structured, AI-enabled recommendations rather than spending weeks gathering information about what has changed. The analyst’s judgment authority over every input is preserved — the system recommends, the human decides.</w:t>
      </w:r>
    </w:p>
    <w:p>
      <w:pPr>
        <w:spacing w:after="1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tblHeader/>
        </w:trPr>
        <w:tc>
          <w:tcPr>
            <w:tcW w:type="dxa" w:w="3360"/>
            <w:tcBorders>
              <w:top w:val="single" w:color="E2E8F0" w:sz="4"/>
              <w:left w:val="single" w:color="E2E8F0" w:sz="4"/>
              <w:bottom w:val="single" w:color="E2E8F0" w:sz="4"/>
              <w:right w:val="single" w:color="E2E8F0" w:sz="4"/>
            </w:tcBorders>
            <w:shd w:fill="0F172A" w:color="auto" w:val="clear"/>
            <w:tcMar>
              <w:top w:type="dxa" w:w="140"/>
              <w:left w:type="dxa" w:w="180"/>
              <w:bottom w:type="dxa" w:w="140"/>
              <w:right w:type="dxa" w:w="140"/>
            </w:tcMar>
          </w:tcPr>
          <w:p>
            <w:r>
              <w:rPr>
                <w:rFonts w:ascii="Arial" w:cs="Arial" w:eastAsia="Arial" w:hAnsi="Arial"/>
                <w:b/>
                <w:bCs/>
                <w:color w:val="FFFFFF"/>
                <w:sz w:val="19"/>
                <w:szCs w:val="19"/>
              </w:rPr>
              <w:t xml:space="preserve">Metric</w:t>
            </w:r>
          </w:p>
        </w:tc>
        <w:tc>
          <w:tcPr>
            <w:tcW w:type="dxa" w:w="3360"/>
            <w:tcBorders>
              <w:top w:val="single" w:color="E2E8F0" w:sz="4"/>
              <w:left w:val="single" w:color="E2E8F0" w:sz="4"/>
              <w:bottom w:val="single" w:color="E2E8F0" w:sz="4"/>
              <w:right w:val="single" w:color="E2E8F0" w:sz="4"/>
            </w:tcBorders>
            <w:shd w:fill="0F172A" w:color="auto" w:val="clear"/>
            <w:tcMar>
              <w:top w:type="dxa" w:w="140"/>
              <w:left w:type="dxa" w:w="180"/>
              <w:bottom w:type="dxa" w:w="140"/>
              <w:right w:type="dxa" w:w="140"/>
            </w:tcMar>
          </w:tcPr>
          <w:p>
            <w:r>
              <w:rPr>
                <w:rFonts w:ascii="Arial" w:cs="Arial" w:eastAsia="Arial" w:hAnsi="Arial"/>
                <w:b/>
                <w:bCs/>
                <w:color w:val="FFFFFF"/>
                <w:sz w:val="19"/>
                <w:szCs w:val="19"/>
              </w:rPr>
              <w:t xml:space="preserve">Before</w:t>
            </w:r>
          </w:p>
        </w:tc>
        <w:tc>
          <w:tcPr>
            <w:tcW w:type="dxa" w:w="3360"/>
            <w:tcBorders>
              <w:top w:val="single" w:color="E2E8F0" w:sz="4"/>
              <w:left w:val="single" w:color="E2E8F0" w:sz="4"/>
              <w:bottom w:val="single" w:color="E2E8F0" w:sz="4"/>
              <w:right w:val="single" w:color="E2E8F0" w:sz="4"/>
            </w:tcBorders>
            <w:shd w:fill="0F172A" w:color="auto" w:val="clear"/>
            <w:tcMar>
              <w:top w:type="dxa" w:w="140"/>
              <w:left w:type="dxa" w:w="180"/>
              <w:bottom w:type="dxa" w:w="140"/>
              <w:right w:type="dxa" w:w="140"/>
            </w:tcMar>
          </w:tcPr>
          <w:p>
            <w:r>
              <w:rPr>
                <w:rFonts w:ascii="Arial" w:cs="Arial" w:eastAsia="Arial" w:hAnsi="Arial"/>
                <w:b/>
                <w:bCs/>
                <w:color w:val="FFFFFF"/>
                <w:sz w:val="19"/>
                <w:szCs w:val="19"/>
              </w:rPr>
              <w:t xml:space="preserve">Target</w:t>
            </w:r>
          </w:p>
        </w:tc>
      </w:tr>
      <w:tr>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Time on information assembly</w:t>
            </w:r>
          </w:p>
        </w:tc>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~60% of team capacity</w:t>
            </w:r>
          </w:p>
        </w:tc>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Under 20%</w:t>
            </w:r>
          </w:p>
        </w:tc>
      </w:tr>
      <w:tr>
        <w:tc>
          <w:tcPr>
            <w:tcW w:type="dxa" w:w="3360"/>
            <w:tcBorders>
              <w:top w:val="single" w:color="E2E8F0" w:sz="4"/>
              <w:left w:val="single" w:color="E2E8F0" w:sz="4"/>
              <w:bottom w:val="single" w:color="E2E8F0" w:sz="4"/>
              <w:right w:val="single" w:color="E2E8F0" w:sz="4"/>
            </w:tcBorders>
            <w:shd w:fill="F1F5F9" w:color="auto" w:val="clear"/>
            <w:tcMar>
              <w:top w:type="dxa" w:w="140"/>
              <w:left w:type="dxa" w:w="180"/>
              <w:bottom w:type="dxa" w:w="140"/>
              <w:right w:type="dxa" w:w="140"/>
            </w:tcMar>
          </w:tcPr>
          <w:p>
            <w:r>
              <w:rPr>
                <w:rFonts w:ascii="Arial" w:cs="Arial" w:eastAsia="Arial" w:hAnsi="Arial"/>
                <w:color w:val="1E293B"/>
                <w:sz w:val="20"/>
                <w:szCs w:val="20"/>
              </w:rPr>
              <w:t xml:space="preserve">Quarterly re-forecast cycle</w:t>
            </w:r>
          </w:p>
        </w:tc>
        <w:tc>
          <w:tcPr>
            <w:tcW w:type="dxa" w:w="3360"/>
            <w:tcBorders>
              <w:top w:val="single" w:color="E2E8F0" w:sz="4"/>
              <w:left w:val="single" w:color="E2E8F0" w:sz="4"/>
              <w:bottom w:val="single" w:color="E2E8F0" w:sz="4"/>
              <w:right w:val="single" w:color="E2E8F0" w:sz="4"/>
            </w:tcBorders>
            <w:shd w:fill="F1F5F9" w:color="auto" w:val="clear"/>
            <w:tcMar>
              <w:top w:type="dxa" w:w="140"/>
              <w:left w:type="dxa" w:w="180"/>
              <w:bottom w:type="dxa" w:w="140"/>
              <w:right w:type="dxa" w:w="140"/>
            </w:tcMar>
          </w:tcPr>
          <w:p>
            <w:r>
              <w:rPr>
                <w:rFonts w:ascii="Arial" w:cs="Arial" w:eastAsia="Arial" w:hAnsi="Arial"/>
                <w:color w:val="1E293B"/>
                <w:sz w:val="20"/>
                <w:szCs w:val="20"/>
              </w:rPr>
              <w:t xml:space="preserve">3-4 weeks</w:t>
            </w:r>
          </w:p>
        </w:tc>
        <w:tc>
          <w:tcPr>
            <w:tcW w:type="dxa" w:w="3360"/>
            <w:tcBorders>
              <w:top w:val="single" w:color="E2E8F0" w:sz="4"/>
              <w:left w:val="single" w:color="E2E8F0" w:sz="4"/>
              <w:bottom w:val="single" w:color="E2E8F0" w:sz="4"/>
              <w:right w:val="single" w:color="E2E8F0" w:sz="4"/>
            </w:tcBorders>
            <w:shd w:fill="F1F5F9" w:color="auto" w:val="clear"/>
            <w:tcMar>
              <w:top w:type="dxa" w:w="140"/>
              <w:left w:type="dxa" w:w="180"/>
              <w:bottom w:type="dxa" w:w="140"/>
              <w:right w:type="dxa" w:w="140"/>
            </w:tcMar>
          </w:tcPr>
          <w:p>
            <w:r>
              <w:rPr>
                <w:rFonts w:ascii="Arial" w:cs="Arial" w:eastAsia="Arial" w:hAnsi="Arial"/>
                <w:color w:val="1E293B"/>
                <w:sz w:val="20"/>
                <w:szCs w:val="20"/>
              </w:rPr>
              <w:t xml:space="preserve">1 week or less</w:t>
            </w:r>
          </w:p>
        </w:tc>
      </w:tr>
      <w:tr>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Variance analysis per BU</w:t>
            </w:r>
          </w:p>
        </w:tc>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~1 day</w:t>
            </w:r>
          </w:p>
        </w:tc>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1-2 hours</w:t>
            </w:r>
          </w:p>
        </w:tc>
      </w:tr>
      <w:tr>
        <w:tc>
          <w:tcPr>
            <w:tcW w:type="dxa" w:w="3360"/>
            <w:tcBorders>
              <w:top w:val="single" w:color="E2E8F0" w:sz="4"/>
              <w:left w:val="single" w:color="E2E8F0" w:sz="4"/>
              <w:bottom w:val="single" w:color="E2E8F0" w:sz="4"/>
              <w:right w:val="single" w:color="E2E8F0" w:sz="4"/>
            </w:tcBorders>
            <w:shd w:fill="F1F5F9" w:color="auto" w:val="clear"/>
            <w:tcMar>
              <w:top w:type="dxa" w:w="140"/>
              <w:left w:type="dxa" w:w="180"/>
              <w:bottom w:type="dxa" w:w="140"/>
              <w:right w:type="dxa" w:w="140"/>
            </w:tcMar>
          </w:tcPr>
          <w:p>
            <w:r>
              <w:rPr>
                <w:rFonts w:ascii="Arial" w:cs="Arial" w:eastAsia="Arial" w:hAnsi="Arial"/>
                <w:color w:val="1E293B"/>
                <w:sz w:val="20"/>
                <w:szCs w:val="20"/>
              </w:rPr>
              <w:t xml:space="preserve">Board materials prep</w:t>
            </w:r>
          </w:p>
        </w:tc>
        <w:tc>
          <w:tcPr>
            <w:tcW w:type="dxa" w:w="3360"/>
            <w:tcBorders>
              <w:top w:val="single" w:color="E2E8F0" w:sz="4"/>
              <w:left w:val="single" w:color="E2E8F0" w:sz="4"/>
              <w:bottom w:val="single" w:color="E2E8F0" w:sz="4"/>
              <w:right w:val="single" w:color="E2E8F0" w:sz="4"/>
            </w:tcBorders>
            <w:shd w:fill="F1F5F9" w:color="auto" w:val="clear"/>
            <w:tcMar>
              <w:top w:type="dxa" w:w="140"/>
              <w:left w:type="dxa" w:w="180"/>
              <w:bottom w:type="dxa" w:w="140"/>
              <w:right w:type="dxa" w:w="140"/>
            </w:tcMar>
          </w:tcPr>
          <w:p>
            <w:r>
              <w:rPr>
                <w:rFonts w:ascii="Arial" w:cs="Arial" w:eastAsia="Arial" w:hAnsi="Arial"/>
                <w:color w:val="1E293B"/>
                <w:sz w:val="20"/>
                <w:szCs w:val="20"/>
              </w:rPr>
              <w:t xml:space="preserve">~2 weeks manual</w:t>
            </w:r>
          </w:p>
        </w:tc>
        <w:tc>
          <w:tcPr>
            <w:tcW w:type="dxa" w:w="3360"/>
            <w:tcBorders>
              <w:top w:val="single" w:color="E2E8F0" w:sz="4"/>
              <w:left w:val="single" w:color="E2E8F0" w:sz="4"/>
              <w:bottom w:val="single" w:color="E2E8F0" w:sz="4"/>
              <w:right w:val="single" w:color="E2E8F0" w:sz="4"/>
            </w:tcBorders>
            <w:shd w:fill="F1F5F9" w:color="auto" w:val="clear"/>
            <w:tcMar>
              <w:top w:type="dxa" w:w="140"/>
              <w:left w:type="dxa" w:w="180"/>
              <w:bottom w:type="dxa" w:w="140"/>
              <w:right w:type="dxa" w:w="140"/>
            </w:tcMar>
          </w:tcPr>
          <w:p>
            <w:r>
              <w:rPr>
                <w:rFonts w:ascii="Arial" w:cs="Arial" w:eastAsia="Arial" w:hAnsi="Arial"/>
                <w:color w:val="1E293B"/>
                <w:sz w:val="20"/>
                <w:szCs w:val="20"/>
              </w:rPr>
              <w:t xml:space="preserve">2 days review</w:t>
            </w:r>
          </w:p>
        </w:tc>
      </w:tr>
      <w:tr>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Risk flag false positive rate</w:t>
            </w:r>
          </w:p>
        </w:tc>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N/A (new capability)</w:t>
            </w:r>
          </w:p>
        </w:tc>
        <w:tc>
          <w:tcPr>
            <w:tcW w:type="dxa" w:w="3360"/>
            <w:tcBorders>
              <w:top w:val="single" w:color="E2E8F0" w:sz="4"/>
              <w:left w:val="single" w:color="E2E8F0" w:sz="4"/>
              <w:bottom w:val="single" w:color="E2E8F0" w:sz="4"/>
              <w:right w:val="single" w:color="E2E8F0" w:sz="4"/>
            </w:tcBorders>
            <w:shd w:fill="FFFFFF" w:color="auto" w:val="clear"/>
            <w:tcMar>
              <w:top w:type="dxa" w:w="140"/>
              <w:left w:type="dxa" w:w="180"/>
              <w:bottom w:type="dxa" w:w="140"/>
              <w:right w:type="dxa" w:w="140"/>
            </w:tcMar>
          </w:tcPr>
          <w:p>
            <w:r>
              <w:rPr>
                <w:rFonts w:ascii="Arial" w:cs="Arial" w:eastAsia="Arial" w:hAnsi="Arial"/>
                <w:color w:val="1E293B"/>
                <w:sz w:val="20"/>
                <w:szCs w:val="20"/>
              </w:rPr>
              <w:t xml:space="preserve">Under 5%</w:t>
            </w:r>
          </w:p>
        </w:tc>
      </w:tr>
    </w:tbl>
    <w:p>
      <w:pPr>
        <w:spacing w:after="240"/>
      </w:pPr>
    </w:p>
    <w:p>
      <w:pPr>
        <w:pBdr>
          <w:bottom w:val="single" w:color="0EA5E9" w:sz="12" w:space="4"/>
        </w:pBdr>
        <w:spacing w:after="100" w:before="480"/>
      </w:pPr>
      <w:r>
        <w:rPr>
          <w:rFonts w:ascii="Georgia" w:cs="Georgia" w:eastAsia="Georgia" w:hAnsi="Georgia"/>
          <w:b/>
          <w:bCs/>
          <w:color w:val="0F172A"/>
          <w:sz w:val="40"/>
          <w:szCs w:val="40"/>
        </w:rPr>
        <w:t xml:space="preserve">Implementation: Crawl, Walk, Run</w:t>
      </w:r>
    </w:p>
    <w:p>
      <w:pPr>
        <w:spacing w:after="180" w:line="320"/>
        <w:jc w:val="both"/>
      </w:pPr>
      <w:r>
        <w:rPr>
          <w:rFonts w:ascii="Arial" w:cs="Arial" w:eastAsia="Arial" w:hAnsi="Arial"/>
          <w:b w:val="false"/>
          <w:bCs w:val="false"/>
          <w:i w:val="false"/>
          <w:iCs w:val="false"/>
          <w:color w:val="1E293B"/>
          <w:sz w:val="21"/>
          <w:szCs w:val="21"/>
        </w:rPr>
        <w:t xml:space="preserve">This is not a big-bang deployment. The system follows a gated, 18-month roadmap where each phase has defined scope, specific deliverables, and measurable criteria that must be met before advancing. There is no automatic advancement based on timeline alone.</w:t>
      </w:r>
    </w:p>
    <w:p>
      <w:pPr>
        <w:spacing w:after="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cantSplit/>
        </w:trPr>
        <w:tc>
          <w:tcPr>
            <w:tcW w:type="dxa" w:w="3360"/>
            <w:tcBorders>
              <w:top w:val="single" w:color="E2E8F0" w:sz="4"/>
              <w:left w:val="single" w:color="0EA5E9" w:sz="24"/>
              <w:bottom w:val="single" w:color="E2E8F0" w:sz="4"/>
              <w:right w:val="single" w:color="E2E8F0" w:sz="4"/>
            </w:tcBorders>
            <w:shd w:fill="FFFFFF" w:color="auto" w:val="clear"/>
            <w:tcMar>
              <w:top w:type="dxa" w:w="240"/>
              <w:left w:type="dxa" w:w="240"/>
              <w:bottom w:type="dxa" w:w="240"/>
              <w:right w:type="dxa" w:w="200"/>
            </w:tcMar>
          </w:tcPr>
          <w:p>
            <w:pPr>
              <w:spacing w:after="80"/>
            </w:pPr>
            <w:r>
              <w:rPr>
                <w:rFonts w:ascii="Arial" w:cs="Arial" w:eastAsia="Arial" w:hAnsi="Arial"/>
                <w:b/>
                <w:bCs/>
                <w:color w:val="0EA5E9"/>
                <w:spacing w:val="24"/>
                <w:sz w:val="15"/>
                <w:szCs w:val="15"/>
              </w:rPr>
              <w:t xml:space="preserve">PHASE 1</w:t>
            </w:r>
          </w:p>
          <w:p>
            <w:pPr>
              <w:spacing w:after="40"/>
            </w:pPr>
            <w:r>
              <w:rPr>
                <w:rFonts w:ascii="Georgia" w:cs="Georgia" w:eastAsia="Georgia" w:hAnsi="Georgia"/>
                <w:b/>
                <w:bCs/>
                <w:color w:val="0F172A"/>
                <w:sz w:val="28"/>
                <w:szCs w:val="28"/>
              </w:rPr>
              <w:t xml:space="preserve">Crawl</w:t>
            </w:r>
          </w:p>
          <w:p>
            <w:pPr>
              <w:spacing w:after="140"/>
            </w:pPr>
            <w:r>
              <w:rPr>
                <w:rFonts w:ascii="Arial" w:cs="Arial" w:eastAsia="Arial" w:hAnsi="Arial"/>
                <w:i/>
                <w:iCs/>
                <w:color w:val="64748B"/>
                <w:sz w:val="17"/>
                <w:szCs w:val="17"/>
              </w:rPr>
              <w:t xml:space="preserve">Months 1-4</w:t>
            </w:r>
          </w:p>
          <w:p>
            <w:pPr>
              <w:spacing w:after="0" w:line="280"/>
            </w:pPr>
            <w:r>
              <w:rPr>
                <w:rFonts w:ascii="Arial" w:cs="Arial" w:eastAsia="Arial" w:hAnsi="Arial"/>
                <w:color w:val="1E293B"/>
                <w:sz w:val="19"/>
                <w:szCs w:val="19"/>
              </w:rPr>
              <w:t xml:space="preserve">Single business unit. Single data source. 100% human review of every output. The goal is not to save time — it is to establish baseline accuracy and build confidence that the extraction is reliable.</w:t>
            </w:r>
          </w:p>
        </w:tc>
        <w:tc>
          <w:tcPr>
            <w:tcW w:type="dxa" w:w="3360"/>
            <w:tcBorders>
              <w:top w:val="single" w:color="E2E8F0" w:sz="4"/>
              <w:left w:val="single" w:color="0F172A" w:sz="24"/>
              <w:bottom w:val="single" w:color="E2E8F0" w:sz="4"/>
              <w:right w:val="single" w:color="E2E8F0" w:sz="4"/>
            </w:tcBorders>
            <w:shd w:fill="FFFFFF" w:color="auto" w:val="clear"/>
            <w:tcMar>
              <w:top w:type="dxa" w:w="240"/>
              <w:left w:type="dxa" w:w="240"/>
              <w:bottom w:type="dxa" w:w="240"/>
              <w:right w:type="dxa" w:w="200"/>
            </w:tcMar>
          </w:tcPr>
          <w:p>
            <w:pPr>
              <w:spacing w:after="80"/>
            </w:pPr>
            <w:r>
              <w:rPr>
                <w:rFonts w:ascii="Arial" w:cs="Arial" w:eastAsia="Arial" w:hAnsi="Arial"/>
                <w:b/>
                <w:bCs/>
                <w:color w:val="0F172A"/>
                <w:spacing w:val="24"/>
                <w:sz w:val="15"/>
                <w:szCs w:val="15"/>
              </w:rPr>
              <w:t xml:space="preserve">PHASE 2</w:t>
            </w:r>
          </w:p>
          <w:p>
            <w:pPr>
              <w:spacing w:after="40"/>
            </w:pPr>
            <w:r>
              <w:rPr>
                <w:rFonts w:ascii="Georgia" w:cs="Georgia" w:eastAsia="Georgia" w:hAnsi="Georgia"/>
                <w:b/>
                <w:bCs/>
                <w:color w:val="0F172A"/>
                <w:sz w:val="28"/>
                <w:szCs w:val="28"/>
              </w:rPr>
              <w:t xml:space="preserve">Walk</w:t>
            </w:r>
          </w:p>
          <w:p>
            <w:pPr>
              <w:spacing w:after="140"/>
            </w:pPr>
            <w:r>
              <w:rPr>
                <w:rFonts w:ascii="Arial" w:cs="Arial" w:eastAsia="Arial" w:hAnsi="Arial"/>
                <w:i/>
                <w:iCs/>
                <w:color w:val="64748B"/>
                <w:sz w:val="17"/>
                <w:szCs w:val="17"/>
              </w:rPr>
              <w:t xml:space="preserve">Months 5-9</w:t>
            </w:r>
          </w:p>
          <w:p>
            <w:pPr>
              <w:spacing w:after="0" w:line="280"/>
            </w:pPr>
            <w:r>
              <w:rPr>
                <w:rFonts w:ascii="Arial" w:cs="Arial" w:eastAsia="Arial" w:hAnsi="Arial"/>
                <w:color w:val="1E293B"/>
                <w:sz w:val="19"/>
                <w:szCs w:val="19"/>
              </w:rPr>
              <w:t xml:space="preserve">All business units. Email ingestion and executive conversation capture come online. Remaining use cases activate. Human review shifts from 100% to sampling-based.</w:t>
            </w:r>
          </w:p>
        </w:tc>
        <w:tc>
          <w:tcPr>
            <w:tcW w:type="dxa" w:w="3360"/>
            <w:tcBorders>
              <w:top w:val="single" w:color="E2E8F0" w:sz="4"/>
              <w:left w:val="single" w:color="0F172A" w:sz="24"/>
              <w:bottom w:val="single" w:color="E2E8F0" w:sz="4"/>
              <w:right w:val="single" w:color="E2E8F0" w:sz="4"/>
            </w:tcBorders>
            <w:shd w:fill="FFFFFF" w:color="auto" w:val="clear"/>
            <w:tcMar>
              <w:top w:type="dxa" w:w="240"/>
              <w:left w:type="dxa" w:w="240"/>
              <w:bottom w:type="dxa" w:w="240"/>
              <w:right w:type="dxa" w:w="200"/>
            </w:tcMar>
          </w:tcPr>
          <w:p>
            <w:pPr>
              <w:spacing w:after="80"/>
            </w:pPr>
            <w:r>
              <w:rPr>
                <w:rFonts w:ascii="Arial" w:cs="Arial" w:eastAsia="Arial" w:hAnsi="Arial"/>
                <w:b/>
                <w:bCs/>
                <w:color w:val="0F172A"/>
                <w:spacing w:val="24"/>
                <w:sz w:val="15"/>
                <w:szCs w:val="15"/>
              </w:rPr>
              <w:t xml:space="preserve">PHASE 3</w:t>
            </w:r>
          </w:p>
          <w:p>
            <w:pPr>
              <w:spacing w:after="40"/>
            </w:pPr>
            <w:r>
              <w:rPr>
                <w:rFonts w:ascii="Georgia" w:cs="Georgia" w:eastAsia="Georgia" w:hAnsi="Georgia"/>
                <w:b/>
                <w:bCs/>
                <w:color w:val="0F172A"/>
                <w:sz w:val="28"/>
                <w:szCs w:val="28"/>
              </w:rPr>
              <w:t xml:space="preserve">Run</w:t>
            </w:r>
          </w:p>
          <w:p>
            <w:pPr>
              <w:spacing w:after="140"/>
            </w:pPr>
            <w:r>
              <w:rPr>
                <w:rFonts w:ascii="Arial" w:cs="Arial" w:eastAsia="Arial" w:hAnsi="Arial"/>
                <w:i/>
                <w:iCs/>
                <w:color w:val="64748B"/>
                <w:sz w:val="17"/>
                <w:szCs w:val="17"/>
              </w:rPr>
              <w:t xml:space="preserve">Months 10-18</w:t>
            </w:r>
          </w:p>
          <w:p>
            <w:pPr>
              <w:spacing w:after="0" w:line="280"/>
            </w:pPr>
            <w:r>
              <w:rPr>
                <w:rFonts w:ascii="Arial" w:cs="Arial" w:eastAsia="Arial" w:hAnsi="Arial"/>
                <w:color w:val="1E293B"/>
                <w:sz w:val="19"/>
                <w:szCs w:val="19"/>
              </w:rPr>
              <w:t xml:space="preserve">Full operational cadence. The team’s role shifts from assembly to oversight and analysis. Cross-BU pattern recognition begins surfacing insights no single unit’s data would reveal.</w:t>
            </w:r>
          </w:p>
        </w:tc>
      </w:tr>
    </w:tbl>
    <w:p>
      <w:pPr>
        <w:spacing w:after="2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rPr>
          <w:cantSplit/>
        </w:trPr>
        <w:tc>
          <w:tcPr>
            <w:tcW w:type="dxa" w:w="10080"/>
            <w:tcBorders>
              <w:top w:val="single" w:color="E0F2FE" w:sz="2"/>
              <w:left w:val="single" w:color="0EA5E9" w:sz="24"/>
              <w:bottom w:val="single" w:color="E0F2FE" w:sz="2"/>
              <w:right w:val="single" w:color="E0F2FE" w:sz="2"/>
            </w:tcBorders>
            <w:shd w:fill="E0F2FE" w:color="auto" w:val="clear"/>
            <w:tcMar>
              <w:top w:type="dxa" w:w="200"/>
              <w:left w:type="dxa" w:w="280"/>
              <w:bottom w:type="dxa" w:w="200"/>
              <w:right w:type="dxa" w:w="240"/>
            </w:tcMar>
          </w:tcPr>
          <w:p>
            <w:pPr>
              <w:spacing w:after="100"/>
            </w:pPr>
            <w:r>
              <w:rPr>
                <w:rFonts w:ascii="Arial" w:cs="Arial" w:eastAsia="Arial" w:hAnsi="Arial"/>
                <w:b/>
                <w:bCs/>
                <w:color w:val="0EA5E9"/>
                <w:spacing w:val="24"/>
                <w:sz w:val="16"/>
                <w:szCs w:val="16"/>
              </w:rPr>
              <w:t xml:space="preserve">GATE REVIEWS MATTER</w:t>
            </w:r>
          </w:p>
          <w:p>
            <w:pPr>
              <w:spacing w:after="0" w:line="300"/>
              <w:jc w:val="both"/>
            </w:pPr>
            <w:r>
              <w:rPr>
                <w:rFonts w:ascii="Arial" w:cs="Arial" w:eastAsia="Arial" w:hAnsi="Arial"/>
                <w:color w:val="1E293B"/>
                <w:sz w:val="20"/>
                <w:szCs w:val="20"/>
              </w:rPr>
              <w:t xml:space="preserve">Gate reviews at Month 4 and Month 9 require documented achievement of advancement criteria. If extraction accuracy does not exceed 90% as validated by the reviewing team, the system stays in the current phase until it does. This discipline is what separates a responsible implementation from a tech demo.</w:t>
            </w:r>
          </w:p>
        </w:tc>
      </w:tr>
    </w:tbl>
    <w:p>
      <w:pPr>
        <w:spacing w:after="200"/>
      </w:pPr>
    </w:p>
    <w:p>
      <w:pPr>
        <w:pBdr>
          <w:bottom w:val="single" w:color="0EA5E9" w:sz="12" w:space="4"/>
        </w:pBdr>
        <w:spacing w:after="100" w:before="480"/>
      </w:pPr>
      <w:r>
        <w:rPr>
          <w:rFonts w:ascii="Georgia" w:cs="Georgia" w:eastAsia="Georgia" w:hAnsi="Georgia"/>
          <w:b/>
          <w:bCs/>
          <w:color w:val="0F172A"/>
          <w:sz w:val="40"/>
          <w:szCs w:val="40"/>
        </w:rPr>
        <w:t xml:space="preserve">Cost Profile and Governance</w:t>
      </w:r>
    </w:p>
    <w:p>
      <w:pPr>
        <w:spacing w:after="180" w:line="320"/>
        <w:jc w:val="both"/>
      </w:pPr>
      <w:r>
        <w:rPr>
          <w:rFonts w:ascii="Arial" w:cs="Arial" w:eastAsia="Arial" w:hAnsi="Arial"/>
          <w:b w:val="false"/>
          <w:bCs w:val="false"/>
          <w:i w:val="false"/>
          <w:iCs w:val="false"/>
          <w:color w:val="1E293B"/>
          <w:sz w:val="21"/>
          <w:szCs w:val="21"/>
        </w:rPr>
        <w:t xml:space="preserve">The cost structure reflects an internal build led by the CFO — modest capital expenditure, predictable operating costs, and a payback period driven primarily by the redeployment of existing labor from assembly work to analysis and oversight.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cantSplit/>
        </w:trPr>
        <w:tc>
          <w:tcPr>
            <w:tcW w:type="dxa" w:w="3360"/>
            <w:tcBorders>
              <w:top w:val="single" w:color="0EA5E9" w:sz="18"/>
              <w:left w:val="single" w:color="E2E8F0" w:sz="4"/>
              <w:bottom w:val="single" w:color="E2E8F0" w:sz="4"/>
              <w:right w:val="single" w:color="E2E8F0" w:sz="4"/>
            </w:tcBorders>
            <w:shd w:fill="FFFFFF" w:color="auto" w:val="clear"/>
            <w:tcMar>
              <w:top w:type="dxa" w:w="240"/>
              <w:left w:type="dxa" w:w="120"/>
              <w:bottom w:type="dxa" w:w="240"/>
              <w:right w:type="dxa" w:w="120"/>
            </w:tcMar>
            <w:vAlign w:val="center"/>
          </w:tcPr>
          <w:p>
            <w:pPr>
              <w:spacing w:after="60"/>
              <w:jc w:val="center"/>
            </w:pPr>
            <w:r>
              <w:rPr>
                <w:rFonts w:ascii="Georgia" w:cs="Georgia" w:eastAsia="Georgia" w:hAnsi="Georgia"/>
                <w:b/>
                <w:bCs/>
                <w:color w:val="0F172A"/>
                <w:sz w:val="48"/>
                <w:szCs w:val="48"/>
              </w:rPr>
              <w:t xml:space="preserve">$24-36K</w:t>
            </w:r>
          </w:p>
          <w:p>
            <w:pPr>
              <w:spacing w:after="0" w:line="240"/>
              <w:jc w:val="center"/>
            </w:pPr>
            <w:r>
              <w:rPr>
                <w:rFonts w:ascii="Arial" w:cs="Arial" w:eastAsia="Arial" w:hAnsi="Arial"/>
                <w:color w:val="475569"/>
                <w:sz w:val="17"/>
                <w:szCs w:val="17"/>
              </w:rPr>
              <w:t xml:space="preserve">Year 1 all-in cost (CapEx + OpEx base)</w:t>
            </w:r>
          </w:p>
        </w:tc>
        <w:tc>
          <w:tcPr>
            <w:tcW w:type="dxa" w:w="3360"/>
            <w:tcBorders>
              <w:top w:val="single" w:color="0EA5E9" w:sz="18"/>
              <w:left w:val="single" w:color="E2E8F0" w:sz="4"/>
              <w:bottom w:val="single" w:color="E2E8F0" w:sz="4"/>
              <w:right w:val="single" w:color="E2E8F0" w:sz="4"/>
            </w:tcBorders>
            <w:shd w:fill="FFFFFF" w:color="auto" w:val="clear"/>
            <w:tcMar>
              <w:top w:type="dxa" w:w="240"/>
              <w:left w:type="dxa" w:w="120"/>
              <w:bottom w:type="dxa" w:w="240"/>
              <w:right w:type="dxa" w:w="120"/>
            </w:tcMar>
            <w:vAlign w:val="center"/>
          </w:tcPr>
          <w:p>
            <w:pPr>
              <w:spacing w:after="60"/>
              <w:jc w:val="center"/>
            </w:pPr>
            <w:r>
              <w:rPr>
                <w:rFonts w:ascii="Georgia" w:cs="Georgia" w:eastAsia="Georgia" w:hAnsi="Georgia"/>
                <w:b/>
                <w:bCs/>
                <w:color w:val="0F172A"/>
                <w:sz w:val="48"/>
                <w:szCs w:val="48"/>
              </w:rPr>
              <w:t xml:space="preserve">&lt;$18K</w:t>
            </w:r>
          </w:p>
          <w:p>
            <w:pPr>
              <w:spacing w:after="0" w:line="240"/>
              <w:jc w:val="center"/>
            </w:pPr>
            <w:r>
              <w:rPr>
                <w:rFonts w:ascii="Arial" w:cs="Arial" w:eastAsia="Arial" w:hAnsi="Arial"/>
                <w:color w:val="475569"/>
                <w:sz w:val="17"/>
                <w:szCs w:val="17"/>
              </w:rPr>
              <w:t xml:space="preserve">Annual run rate (Year 2+ OpEx ceiling)</w:t>
            </w:r>
          </w:p>
        </w:tc>
        <w:tc>
          <w:tcPr>
            <w:tcW w:type="dxa" w:w="3360"/>
            <w:tcBorders>
              <w:top w:val="single" w:color="0EA5E9" w:sz="18"/>
              <w:left w:val="single" w:color="E2E8F0" w:sz="4"/>
              <w:bottom w:val="single" w:color="E2E8F0" w:sz="4"/>
              <w:right w:val="single" w:color="E2E8F0" w:sz="4"/>
            </w:tcBorders>
            <w:shd w:fill="FFFFFF" w:color="auto" w:val="clear"/>
            <w:tcMar>
              <w:top w:type="dxa" w:w="240"/>
              <w:left w:type="dxa" w:w="120"/>
              <w:bottom w:type="dxa" w:w="240"/>
              <w:right w:type="dxa" w:w="120"/>
            </w:tcMar>
            <w:vAlign w:val="center"/>
          </w:tcPr>
          <w:p>
            <w:pPr>
              <w:spacing w:after="60"/>
              <w:jc w:val="center"/>
            </w:pPr>
            <w:r>
              <w:rPr>
                <w:rFonts w:ascii="Georgia" w:cs="Georgia" w:eastAsia="Georgia" w:hAnsi="Georgia"/>
                <w:b/>
                <w:bCs/>
                <w:color w:val="0F172A"/>
                <w:sz w:val="48"/>
                <w:szCs w:val="48"/>
              </w:rPr>
              <w:t xml:space="preserve">320 hrs</w:t>
            </w:r>
          </w:p>
          <w:p>
            <w:pPr>
              <w:spacing w:after="0" w:line="240"/>
              <w:jc w:val="center"/>
            </w:pPr>
            <w:r>
              <w:rPr>
                <w:rFonts w:ascii="Arial" w:cs="Arial" w:eastAsia="Arial" w:hAnsi="Arial"/>
                <w:color w:val="475569"/>
                <w:sz w:val="17"/>
                <w:szCs w:val="17"/>
              </w:rPr>
              <w:t xml:space="preserve">Total internal time across 18-month build</w:t>
            </w:r>
          </w:p>
        </w:tc>
      </w:tr>
    </w:tbl>
    <w:p>
      <w:pPr>
        <w:spacing w:after="240"/>
      </w:pPr>
    </w:p>
    <w:p>
      <w:pPr>
        <w:spacing w:after="180" w:line="320"/>
        <w:jc w:val="both"/>
      </w:pPr>
      <w:r>
        <w:rPr>
          <w:rFonts w:ascii="Arial" w:cs="Arial" w:eastAsia="Arial" w:hAnsi="Arial"/>
          <w:b w:val="false"/>
          <w:bCs w:val="false"/>
          <w:i w:val="false"/>
          <w:iCs w:val="false"/>
          <w:color w:val="1E293B"/>
          <w:sz w:val="21"/>
          <w:szCs w:val="21"/>
        </w:rPr>
        <w:t xml:space="preserve">Capital expenditure is concentrated in the first four months: external consulting for architecture, security review, and production hardening. Operating expenses are dominated by AI platform licensing — chosen at the enterprise tier specifically for audit logging, SSO, and compliance API access. When the system processes meeting transcripts containing project-level margin discussions and board-level financial content, the absence of audit logging creates a governance gap that a PE sponsor’s due diligence would reasonably question.</w:t>
      </w:r>
    </w:p>
    <w:p>
      <w:pPr>
        <w:spacing w:after="120" w:before="320"/>
      </w:pPr>
      <w:r>
        <w:rPr>
          <w:rFonts w:ascii="Arial" w:cs="Arial" w:eastAsia="Arial" w:hAnsi="Arial"/>
          <w:b/>
          <w:bCs/>
          <w:color w:val="0F172A"/>
          <w:sz w:val="26"/>
          <w:szCs w:val="26"/>
        </w:rPr>
        <w:t xml:space="preserve">Governance: CFO Ownership</w:t>
      </w:r>
    </w:p>
    <w:p>
      <w:pPr>
        <w:spacing w:after="180" w:line="320"/>
        <w:jc w:val="both"/>
      </w:pPr>
      <w:r>
        <w:rPr>
          <w:rFonts w:ascii="Arial" w:cs="Arial" w:eastAsia="Arial" w:hAnsi="Arial"/>
          <w:b w:val="false"/>
          <w:bCs w:val="false"/>
          <w:i w:val="false"/>
          <w:iCs w:val="false"/>
          <w:color w:val="1E293B"/>
          <w:sz w:val="21"/>
          <w:szCs w:val="21"/>
        </w:rPr>
        <w:t xml:space="preserve">Ownership of the system sits with the CFO. This is not a shared-governance model with IT or an AI steering committee. The CFO owns the data, the outputs, the risk, and the decision to continue, pause, or shut down the system. This clear ownership structure avoids the diffusion of accountability that stalls AI initiatives in larger organizations, and it reflects the reality that the system’s outputs feed financial reporting processes that already fall under the CFO’s authority.</w:t>
      </w:r>
    </w:p>
    <w:p>
      <w:pPr>
        <w:spacing w:after="180" w:line="320"/>
        <w:jc w:val="both"/>
      </w:pPr>
      <w:r>
        <w:rPr>
          <w:rFonts w:ascii="Arial" w:cs="Arial" w:eastAsia="Arial" w:hAnsi="Arial"/>
          <w:b w:val="false"/>
          <w:bCs w:val="false"/>
          <w:i w:val="false"/>
          <w:iCs w:val="false"/>
          <w:color w:val="1E293B"/>
          <w:sz w:val="21"/>
          <w:szCs w:val="21"/>
        </w:rPr>
        <w:t xml:space="preserve">Because the underlying financial systems are read-from and not written-to, pausing the AI layer returns the team to their prior workflow with no disruption to ongoing operations. The system prepares. The team reviews. The review findings feed back into the system’s configuration. It is the same preparer/reviewer framework already embedded in every well-run finance function.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rPr>
          <w:cantSplit/>
        </w:trPr>
        <w:tc>
          <w:tcPr>
            <w:tcW w:type="dxa" w:w="10080"/>
            <w:tcBorders>
              <w:top w:val="single" w:color="FEF3C7" w:sz="2"/>
              <w:left w:val="single" w:color="B45309" w:sz="24"/>
              <w:bottom w:val="single" w:color="FEF3C7" w:sz="2"/>
              <w:right w:val="single" w:color="FEF3C7" w:sz="2"/>
            </w:tcBorders>
            <w:shd w:fill="FEF3C7" w:color="auto" w:val="clear"/>
            <w:tcMar>
              <w:top w:type="dxa" w:w="200"/>
              <w:left w:type="dxa" w:w="280"/>
              <w:bottom w:type="dxa" w:w="200"/>
              <w:right w:type="dxa" w:w="240"/>
            </w:tcMar>
          </w:tcPr>
          <w:p>
            <w:pPr>
              <w:spacing w:after="100"/>
            </w:pPr>
            <w:r>
              <w:rPr>
                <w:rFonts w:ascii="Arial" w:cs="Arial" w:eastAsia="Arial" w:hAnsi="Arial"/>
                <w:b/>
                <w:bCs/>
                <w:color w:val="B45309"/>
                <w:spacing w:val="24"/>
                <w:sz w:val="16"/>
                <w:szCs w:val="16"/>
              </w:rPr>
              <w:t xml:space="preserve">RISK MITIGATION</w:t>
            </w:r>
          </w:p>
          <w:p>
            <w:pPr>
              <w:spacing w:after="0" w:line="300"/>
              <w:jc w:val="both"/>
            </w:pPr>
            <w:r>
              <w:rPr>
                <w:rFonts w:ascii="Arial" w:cs="Arial" w:eastAsia="Arial" w:hAnsi="Arial"/>
                <w:color w:val="1E293B"/>
                <w:sz w:val="20"/>
                <w:szCs w:val="20"/>
              </w:rPr>
              <w:t xml:space="preserve">If the system produces a material error, the CFO suspends automated outputs and reverts to full manual review until a root cause analysis is completed. The architecture uses portable technologies with no platform-specific lock-in — migration to a different provider is straightforward if the PE sponsor mandates it or the system outgrows the platform.</w:t>
            </w:r>
          </w:p>
        </w:tc>
      </w:tr>
    </w:tbl>
    <w:p>
      <w:pPr>
        <w:spacing w:after="200"/>
      </w:pPr>
    </w:p>
    <w:p>
      <w:pPr>
        <w:pBdr>
          <w:bottom w:val="single" w:color="0EA5E9" w:sz="12" w:space="4"/>
        </w:pBdr>
        <w:spacing w:after="100" w:before="480"/>
      </w:pPr>
      <w:r>
        <w:rPr>
          <w:rFonts w:ascii="Georgia" w:cs="Georgia" w:eastAsia="Georgia" w:hAnsi="Georgia"/>
          <w:b/>
          <w:bCs/>
          <w:color w:val="0F172A"/>
          <w:sz w:val="40"/>
          <w:szCs w:val="40"/>
        </w:rPr>
        <w:t xml:space="preserve">Who This Is For</w:t>
      </w:r>
    </w:p>
    <w:p>
      <w:pPr>
        <w:spacing w:after="180" w:line="320"/>
        <w:jc w:val="both"/>
      </w:pPr>
      <w:r>
        <w:rPr>
          <w:rFonts w:ascii="Arial" w:cs="Arial" w:eastAsia="Arial" w:hAnsi="Arial"/>
          <w:b w:val="false"/>
          <w:bCs w:val="false"/>
          <w:i w:val="false"/>
          <w:iCs w:val="false"/>
          <w:color w:val="1E293B"/>
          <w:sz w:val="21"/>
          <w:szCs w:val="21"/>
        </w:rPr>
        <w:t xml:space="preserve">This approach fits PE-backed portfolio companies with lean finance teams, high information volume, and a cost of late visibility measured in margin points. It is strongest in project-based businesses with percentage-of-completion revenue recognition, in multi-entity holding companies where intelligence rarely crosses BU lines, and in any environment where executive decisions live in memory rather than the model.</w:t>
      </w:r>
    </w:p>
    <w:p>
      <w:pPr>
        <w:pBdr>
          <w:bottom w:val="single" w:color="0EA5E9" w:sz="12" w:space="4"/>
        </w:pBdr>
        <w:spacing w:after="100" w:before="480"/>
      </w:pPr>
      <w:r>
        <w:rPr>
          <w:rFonts w:ascii="Georgia" w:cs="Georgia" w:eastAsia="Georgia" w:hAnsi="Georgia"/>
          <w:b/>
          <w:bCs/>
          <w:color w:val="0F172A"/>
          <w:sz w:val="40"/>
          <w:szCs w:val="40"/>
        </w:rPr>
        <w:t xml:space="preserve">Where This Fits in Our Work</w:t>
      </w:r>
    </w:p>
    <w:p>
      <w:pPr>
        <w:spacing w:after="180" w:line="320"/>
        <w:jc w:val="both"/>
      </w:pPr>
      <w:r>
        <w:rPr>
          <w:rFonts w:ascii="Arial" w:cs="Arial" w:eastAsia="Arial" w:hAnsi="Arial"/>
          <w:b w:val="false"/>
          <w:bCs w:val="false"/>
          <w:i w:val="false"/>
          <w:iCs w:val="false"/>
          <w:color w:val="1E293B"/>
          <w:sz w:val="21"/>
          <w:szCs w:val="21"/>
        </w:rPr>
        <w:t xml:space="preserve">PortfolioOG operates across three engagement types that follow the lifecycle of a private equity investment. This system maps naturally to all three, with the build concentrated in the first year of ownership and the operation continuing across the recurring engagement that follows.</w:t>
      </w:r>
    </w:p>
    <w:p>
      <w:pPr>
        <w:spacing w:after="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cantSplit/>
        </w:trPr>
        <w:tc>
          <w:tcPr>
            <w:tcW w:type="dxa" w:w="3360"/>
            <w:tcBorders>
              <w:top w:val="single" w:color="E2E8F0" w:sz="4"/>
              <w:left w:val="single" w:color="475569" w:sz="24"/>
              <w:bottom w:val="single" w:color="E2E8F0" w:sz="4"/>
              <w:right w:val="single" w:color="E2E8F0" w:sz="4"/>
            </w:tcBorders>
            <w:shd w:fill="FFFFFF" w:color="auto" w:val="clear"/>
            <w:tcMar>
              <w:top w:type="dxa" w:w="240"/>
              <w:left w:type="dxa" w:w="240"/>
              <w:bottom w:type="dxa" w:w="240"/>
              <w:right w:type="dxa" w:w="200"/>
            </w:tcMar>
          </w:tcPr>
          <w:p>
            <w:pPr>
              <w:spacing w:after="80"/>
            </w:pPr>
            <w:r>
              <w:rPr>
                <w:rFonts w:ascii="Arial" w:cs="Arial" w:eastAsia="Arial" w:hAnsi="Arial"/>
                <w:b/>
                <w:bCs/>
                <w:color w:val="475569"/>
                <w:spacing w:val="24"/>
                <w:sz w:val="15"/>
                <w:szCs w:val="15"/>
              </w:rPr>
              <w:t xml:space="preserve">PRE-INVESTMENT</w:t>
            </w:r>
          </w:p>
          <w:p>
            <w:pPr>
              <w:spacing w:after="40"/>
            </w:pPr>
            <w:r>
              <w:rPr>
                <w:rFonts w:ascii="Georgia" w:cs="Georgia" w:eastAsia="Georgia" w:hAnsi="Georgia"/>
                <w:b/>
                <w:bCs/>
                <w:color w:val="0F172A"/>
                <w:sz w:val="28"/>
                <w:szCs w:val="28"/>
              </w:rPr>
              <w:t xml:space="preserve">Diligence Lens</w:t>
            </w:r>
          </w:p>
          <w:p>
            <w:pPr>
              <w:spacing w:after="140"/>
            </w:pPr>
            <w:r>
              <w:rPr>
                <w:rFonts w:ascii="Arial" w:cs="Arial" w:eastAsia="Arial" w:hAnsi="Arial"/>
                <w:i/>
                <w:iCs/>
                <w:color w:val="64748B"/>
                <w:sz w:val="17"/>
                <w:szCs w:val="17"/>
              </w:rPr>
              <w:t xml:space="preserve">Pre-LOI through close</w:t>
            </w:r>
          </w:p>
          <w:p>
            <w:pPr>
              <w:spacing w:after="0" w:line="280"/>
            </w:pPr>
            <w:r>
              <w:rPr>
                <w:rFonts w:ascii="Arial" w:cs="Arial" w:eastAsia="Arial" w:hAnsi="Arial"/>
                <w:color w:val="1E293B"/>
                <w:sz w:val="19"/>
                <w:szCs w:val="19"/>
              </w:rPr>
              <w:t xml:space="preserve">During QoE readiness work, we evaluate whether the target’s existing finance function would benefit from this approach post-close. The architecture becomes part of the diligence picture, not just a deployment plan.</w:t>
            </w:r>
          </w:p>
        </w:tc>
        <w:tc>
          <w:tcPr>
            <w:tcW w:type="dxa" w:w="3360"/>
            <w:tcBorders>
              <w:top w:val="single" w:color="E2E8F0" w:sz="4"/>
              <w:left w:val="single" w:color="0EA5E9" w:sz="24"/>
              <w:bottom w:val="single" w:color="E2E8F0" w:sz="4"/>
              <w:right w:val="single" w:color="E2E8F0" w:sz="4"/>
            </w:tcBorders>
            <w:shd w:fill="FFFFFF" w:color="auto" w:val="clear"/>
            <w:tcMar>
              <w:top w:type="dxa" w:w="240"/>
              <w:left w:type="dxa" w:w="240"/>
              <w:bottom w:type="dxa" w:w="240"/>
              <w:right w:type="dxa" w:w="200"/>
            </w:tcMar>
          </w:tcPr>
          <w:p>
            <w:pPr>
              <w:spacing w:after="80"/>
            </w:pPr>
            <w:r>
              <w:rPr>
                <w:rFonts w:ascii="Arial" w:cs="Arial" w:eastAsia="Arial" w:hAnsi="Arial"/>
                <w:b/>
                <w:bCs/>
                <w:color w:val="0EA5E9"/>
                <w:spacing w:val="24"/>
                <w:sz w:val="15"/>
                <w:szCs w:val="15"/>
              </w:rPr>
              <w:t xml:space="preserve">POST-ACQUISITION</w:t>
            </w:r>
          </w:p>
          <w:p>
            <w:pPr>
              <w:spacing w:after="40"/>
            </w:pPr>
            <w:r>
              <w:rPr>
                <w:rFonts w:ascii="Georgia" w:cs="Georgia" w:eastAsia="Georgia" w:hAnsi="Georgia"/>
                <w:b/>
                <w:bCs/>
                <w:color w:val="0F172A"/>
                <w:sz w:val="28"/>
                <w:szCs w:val="28"/>
              </w:rPr>
              <w:t xml:space="preserve">First-Year Build</w:t>
            </w:r>
          </w:p>
          <w:p>
            <w:pPr>
              <w:spacing w:after="140"/>
            </w:pPr>
            <w:r>
              <w:rPr>
                <w:rFonts w:ascii="Arial" w:cs="Arial" w:eastAsia="Arial" w:hAnsi="Arial"/>
                <w:i/>
                <w:iCs/>
                <w:color w:val="64748B"/>
                <w:sz w:val="17"/>
                <w:szCs w:val="17"/>
              </w:rPr>
              <w:t xml:space="preserve">Months 1-12</w:t>
            </w:r>
          </w:p>
          <w:p>
            <w:pPr>
              <w:spacing w:after="0" w:line="280"/>
            </w:pPr>
            <w:r>
              <w:rPr>
                <w:rFonts w:ascii="Arial" w:cs="Arial" w:eastAsia="Arial" w:hAnsi="Arial"/>
                <w:color w:val="1E293B"/>
                <w:sz w:val="19"/>
                <w:szCs w:val="19"/>
              </w:rPr>
              <w:t xml:space="preserve">The first year is the right window to install passive intelligence. The crawl phase fits inside the same months we are already deploying alongside management to build close calendars, board materials, and audit readiness.</w:t>
            </w:r>
          </w:p>
        </w:tc>
        <w:tc>
          <w:tcPr>
            <w:tcW w:type="dxa" w:w="3360"/>
            <w:tcBorders>
              <w:top w:val="single" w:color="E2E8F0" w:sz="4"/>
              <w:left w:val="single" w:color="0F172A" w:sz="24"/>
              <w:bottom w:val="single" w:color="E2E8F0" w:sz="4"/>
              <w:right w:val="single" w:color="E2E8F0" w:sz="4"/>
            </w:tcBorders>
            <w:shd w:fill="FFFFFF" w:color="auto" w:val="clear"/>
            <w:tcMar>
              <w:top w:type="dxa" w:w="240"/>
              <w:left w:type="dxa" w:w="240"/>
              <w:bottom w:type="dxa" w:w="240"/>
              <w:right w:type="dxa" w:w="200"/>
            </w:tcMar>
          </w:tcPr>
          <w:p>
            <w:pPr>
              <w:spacing w:after="80"/>
            </w:pPr>
            <w:r>
              <w:rPr>
                <w:rFonts w:ascii="Arial" w:cs="Arial" w:eastAsia="Arial" w:hAnsi="Arial"/>
                <w:b/>
                <w:bCs/>
                <w:color w:val="0F172A"/>
                <w:spacing w:val="24"/>
                <w:sz w:val="15"/>
                <w:szCs w:val="15"/>
              </w:rPr>
              <w:t xml:space="preserve">FRACTIONAL CFO</w:t>
            </w:r>
          </w:p>
          <w:p>
            <w:pPr>
              <w:spacing w:after="40"/>
            </w:pPr>
            <w:r>
              <w:rPr>
                <w:rFonts w:ascii="Georgia" w:cs="Georgia" w:eastAsia="Georgia" w:hAnsi="Georgia"/>
                <w:b/>
                <w:bCs/>
                <w:color w:val="0F172A"/>
                <w:sz w:val="28"/>
                <w:szCs w:val="28"/>
              </w:rPr>
              <w:t xml:space="preserve">Recurring Operation</w:t>
            </w:r>
          </w:p>
          <w:p>
            <w:pPr>
              <w:spacing w:after="140"/>
            </w:pPr>
            <w:r>
              <w:rPr>
                <w:rFonts w:ascii="Arial" w:cs="Arial" w:eastAsia="Arial" w:hAnsi="Arial"/>
                <w:i/>
                <w:iCs/>
                <w:color w:val="64748B"/>
                <w:sz w:val="17"/>
                <w:szCs w:val="17"/>
              </w:rPr>
              <w:t xml:space="preserve">Ongoing</w:t>
            </w:r>
          </w:p>
          <w:p>
            <w:pPr>
              <w:spacing w:after="0" w:line="280"/>
            </w:pPr>
            <w:r>
              <w:rPr>
                <w:rFonts w:ascii="Arial" w:cs="Arial" w:eastAsia="Arial" w:hAnsi="Arial"/>
                <w:color w:val="1E293B"/>
                <w:sz w:val="19"/>
                <w:szCs w:val="19"/>
              </w:rPr>
              <w:t xml:space="preserve">Once the system is operational, it becomes the platform that lets a recurring engagement scale. Monthly close oversight, forecast model ownership, and board reporting run against an intelligence layer rather than a manual assembly process.</w:t>
            </w:r>
          </w:p>
        </w:tc>
      </w:tr>
    </w:tbl>
    <w:p>
      <w:pPr>
        <w:spacing w:after="2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rPr>
          <w:cantSplit/>
        </w:trPr>
        <w:tc>
          <w:tcPr>
            <w:tcW w:type="dxa" w:w="10080"/>
            <w:tcBorders>
              <w:top w:val="single" w:color="F8FAFC" w:sz="2"/>
              <w:left w:val="single" w:color="0EA5E9" w:sz="24"/>
              <w:bottom w:val="single" w:color="F8FAFC" w:sz="2"/>
              <w:right w:val="single" w:color="F8FAFC" w:sz="2"/>
            </w:tcBorders>
            <w:shd w:fill="F8FAFC" w:color="auto" w:val="clear"/>
            <w:tcMar>
              <w:top w:type="dxa" w:w="260"/>
              <w:left w:type="dxa" w:w="320"/>
              <w:bottom w:type="dxa" w:w="240"/>
              <w:right w:type="dxa" w:w="280"/>
            </w:tcMar>
          </w:tcPr>
          <w:p>
            <w:pPr>
              <w:spacing w:after="140" w:line="340"/>
            </w:pPr>
            <w:r>
              <w:rPr>
                <w:rFonts w:ascii="Georgia" w:cs="Georgia" w:eastAsia="Georgia" w:hAnsi="Georgia"/>
                <w:i/>
                <w:iCs/>
                <w:color w:val="0F172A"/>
                <w:sz w:val="28"/>
                <w:szCs w:val="28"/>
              </w:rPr>
              <w:t xml:space="preserve">The bottleneck was never entering a number into a cell. It was figuring out what the number should be.</w:t>
            </w:r>
          </w:p>
          <w:p>
            <w:pPr>
              <w:spacing w:after="0"/>
            </w:pPr>
            <w:r>
              <w:rPr>
                <w:rFonts w:ascii="Arial" w:cs="Arial" w:eastAsia="Arial" w:hAnsi="Arial"/>
                <w:color w:val="64748B"/>
                <w:spacing w:val="12"/>
                <w:sz w:val="16"/>
                <w:szCs w:val="16"/>
              </w:rPr>
              <w:t xml:space="preserve">FROM THE SEAT  ·  Operating CFO perspective</w:t>
            </w:r>
          </w:p>
        </w:tc>
      </w:tr>
    </w:tbl>
    <w:p>
      <w:pPr>
        <w:spacing w:after="280"/>
      </w:pPr>
    </w:p>
    <w:p>
      <w:pPr>
        <w:spacing w:after="240" w:line="340"/>
        <w:jc w:val="both"/>
      </w:pPr>
      <w:r>
        <w:rPr>
          <w:rFonts w:ascii="Arial" w:cs="Arial" w:eastAsia="Arial" w:hAnsi="Arial"/>
          <w:color w:val="0F172A"/>
          <w:sz w:val="24"/>
          <w:szCs w:val="24"/>
        </w:rPr>
        <w:t xml:space="preserve">The information your portfolio companies need to make better decisions faster is already being generated every week. The question is whether it reaches the right people before it dissipates — or after.</w:t>
      </w:r>
    </w:p>
    <w:p>
      <w:pPr>
        <w:spacing w:after="48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rPr>
          <w:cantSplit/>
        </w:trPr>
        <w:tc>
          <w:tcPr>
            <w:tcW w:type="dxa" w:w="10080"/>
            <w:tcBorders>
              <w:top w:val="single" w:color="0EA5E9" w:sz="24"/>
              <w:left w:val="none" w:color="020617" w:sz="0"/>
              <w:bottom w:val="none" w:color="020617" w:sz="0"/>
              <w:right w:val="none" w:color="020617" w:sz="0"/>
            </w:tcBorders>
            <w:shd w:fill="020617" w:color="auto" w:val="clear"/>
            <w:tcMar>
              <w:top w:type="dxa" w:w="400"/>
              <w:left w:type="dxa" w:w="400"/>
              <w:bottom w:type="dxa" w:w="400"/>
              <w:right w:type="dxa" w:w="400"/>
            </w:tcMar>
            <w:vAlign w:val="center"/>
          </w:tcPr>
          <w:p>
            <w:pPr>
              <w:spacing w:after="160"/>
              <w:jc w:val="center"/>
            </w:pPr>
            <w:r>
              <w:rPr>
                <w:rFonts w:ascii="Georgia" w:cs="Georgia" w:eastAsia="Georgia" w:hAnsi="Georgia"/>
                <w:b/>
                <w:bCs/>
                <w:color w:val="FFFFFF"/>
                <w:sz w:val="36"/>
                <w:szCs w:val="36"/>
              </w:rPr>
              <w:t xml:space="preserve">Ready to discuss what this looks like for your portfolio?</w:t>
            </w:r>
          </w:p>
          <w:p>
            <w:pPr>
              <w:spacing w:after="240" w:line="320"/>
              <w:jc w:val="center"/>
            </w:pPr>
            <w:r>
              <w:rPr>
                <w:rFonts w:ascii="Arial" w:cs="Arial" w:eastAsia="Arial" w:hAnsi="Arial"/>
                <w:color w:val="94A3B8"/>
                <w:sz w:val="22"/>
                <w:szCs w:val="22"/>
              </w:rPr>
              <w:t xml:space="preserve">We’ve built and operated these systems from the CFO seat. Let’s talk about what passive intelligence could mean for your companies.</w:t>
            </w:r>
          </w:p>
          <w:p>
            <w:pPr>
              <w:spacing w:after="100"/>
              <w:jc w:val="center"/>
            </w:pPr>
            <w:r>
              <w:rPr>
                <w:rFonts w:ascii="Arial" w:cs="Arial" w:eastAsia="Arial" w:hAnsi="Arial"/>
                <w:b/>
                <w:bCs/>
                <w:color w:val="38BDF8"/>
                <w:sz w:val="22"/>
                <w:szCs w:val="22"/>
              </w:rPr>
              <w:t xml:space="preserve">portfolioog.com  |  contact@portfolioog.com</w:t>
            </w:r>
          </w:p>
          <w:p>
            <w:pPr>
              <w:spacing w:after="0"/>
              <w:jc w:val="center"/>
            </w:pPr>
            <w:r>
              <w:rPr>
                <w:rFonts w:ascii="Arial" w:cs="Arial" w:eastAsia="Arial" w:hAnsi="Arial"/>
                <w:color w:val="94A3B8"/>
                <w:sz w:val="16"/>
                <w:szCs w:val="16"/>
              </w:rPr>
              <w:t xml:space="preserve">Kansas City, MO  ·  © 2026 Portfolio Operating Group. All rights reserved.</w:t>
            </w:r>
          </w:p>
        </w:tc>
      </w:tr>
    </w:tbl>
    <w:sectPr>
      <w:footerReference w:type="default" r:id="rId7"/>
      <w:pgSz w:w="12240" w:h="15840" w:orient="portrait"/>
      <w:pgMar w:top="1080" w:right="1080" w:bottom="1320" w:left="1080" w:header="708"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10080"/>
      </w:tabs>
    </w:pPr>
    <w:r>
      <w:rPr>
        <w:rFonts w:ascii="Arial" w:cs="Arial" w:eastAsia="Arial" w:hAnsi="Arial"/>
        <w:color w:val="64748B"/>
        <w:sz w:val="16"/>
        <w:szCs w:val="16"/>
      </w:rPr>
      <w:t xml:space="preserve">Portfolio Operating Group  ·  Passive Intelligence</w:t>
    </w:r>
    <w:r>
      <w:rPr>
        <w:rFonts w:ascii="Arial" w:cs="Arial" w:eastAsia="Arial" w:hAnsi="Arial"/>
      </w:rPr>
      <w:t xml:space="preserve">	</w:t>
    </w:r>
    <w:r>
      <w:rPr>
        <w:rFonts w:ascii="Arial" w:cs="Arial" w:eastAsia="Arial" w:hAnsi="Arial"/>
        <w:color w:val="64748B"/>
        <w:sz w:val="16"/>
        <w:szCs w:val="16"/>
      </w:rPr>
      <w:t xml:space="preserve">Page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Passive Intelligence</dc:title>
  <dc:creator>Portfolio Operating Group</dc:creator>
  <dc:description>White paper on agentic AI for FP&amp;A in PE-backed portfolio companies</dc:description>
  <cp:lastModifiedBy>Un-named</cp:lastModifiedBy>
  <cp:revision>1</cp:revision>
  <dcterms:created xsi:type="dcterms:W3CDTF">2026-04-16T03:37:27.850Z</dcterms:created>
  <dcterms:modified xsi:type="dcterms:W3CDTF">2026-04-16T03:37:27.851Z</dcterms:modified>
</cp:coreProperties>
</file>

<file path=docProps/custom.xml><?xml version="1.0" encoding="utf-8"?>
<Properties xmlns="http://schemas.openxmlformats.org/officeDocument/2006/custom-properties" xmlns:vt="http://schemas.openxmlformats.org/officeDocument/2006/docPropsVTypes"/>
</file>